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14BF4" w14:textId="0F373CE0" w:rsidR="00542E20" w:rsidRDefault="00542E20" w:rsidP="00542E20">
      <w:pPr>
        <w:spacing w:line="240" w:lineRule="auto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2E20">
        <w:rPr>
          <w:rFonts w:ascii="Times New Roman" w:hAnsi="Times New Roman" w:cs="Times New Roman"/>
          <w:sz w:val="28"/>
          <w:szCs w:val="28"/>
        </w:rPr>
        <w:t xml:space="preserve">В ФГБУ «Заповедники Таймыра» </w:t>
      </w:r>
      <w:r w:rsidR="00DB5527">
        <w:rPr>
          <w:rFonts w:ascii="Times New Roman" w:hAnsi="Times New Roman" w:cs="Times New Roman"/>
          <w:sz w:val="28"/>
          <w:szCs w:val="28"/>
        </w:rPr>
        <w:t>26</w:t>
      </w:r>
      <w:r w:rsidRPr="00542E20">
        <w:rPr>
          <w:rFonts w:ascii="Times New Roman" w:hAnsi="Times New Roman" w:cs="Times New Roman"/>
          <w:sz w:val="28"/>
          <w:szCs w:val="28"/>
        </w:rPr>
        <w:t>.</w:t>
      </w:r>
      <w:r w:rsidR="00DB5527">
        <w:rPr>
          <w:rFonts w:ascii="Times New Roman" w:hAnsi="Times New Roman" w:cs="Times New Roman"/>
          <w:sz w:val="28"/>
          <w:szCs w:val="28"/>
        </w:rPr>
        <w:t>01</w:t>
      </w:r>
      <w:r w:rsidRPr="00542E20">
        <w:rPr>
          <w:rFonts w:ascii="Times New Roman" w:hAnsi="Times New Roman" w:cs="Times New Roman"/>
          <w:sz w:val="28"/>
          <w:szCs w:val="28"/>
        </w:rPr>
        <w:t>.202</w:t>
      </w:r>
      <w:r w:rsidR="00DB5527">
        <w:rPr>
          <w:rFonts w:ascii="Times New Roman" w:hAnsi="Times New Roman" w:cs="Times New Roman"/>
          <w:sz w:val="28"/>
          <w:szCs w:val="28"/>
        </w:rPr>
        <w:t>2</w:t>
      </w:r>
      <w:r w:rsidRPr="00542E20">
        <w:rPr>
          <w:rFonts w:ascii="Times New Roman" w:hAnsi="Times New Roman" w:cs="Times New Roman"/>
          <w:sz w:val="28"/>
          <w:szCs w:val="28"/>
        </w:rPr>
        <w:t xml:space="preserve"> завершено проведение очередной специальной оценки условий труда </w:t>
      </w:r>
      <w:r w:rsidR="0081236F">
        <w:rPr>
          <w:rFonts w:ascii="Times New Roman" w:hAnsi="Times New Roman" w:cs="Times New Roman"/>
          <w:sz w:val="28"/>
          <w:szCs w:val="28"/>
        </w:rPr>
        <w:t xml:space="preserve">(далее – СОУТ) </w:t>
      </w:r>
      <w:r w:rsidRPr="00542E20">
        <w:rPr>
          <w:rFonts w:ascii="Times New Roman" w:hAnsi="Times New Roman" w:cs="Times New Roman"/>
          <w:sz w:val="28"/>
          <w:szCs w:val="28"/>
        </w:rPr>
        <w:t>на рабочих местах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A46AE77" w14:textId="3F86E391" w:rsidR="00542E20" w:rsidRDefault="00542E20" w:rsidP="00542E20">
      <w:pPr>
        <w:spacing w:line="240" w:lineRule="auto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2E20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81236F">
        <w:rPr>
          <w:rFonts w:ascii="Times New Roman" w:hAnsi="Times New Roman" w:cs="Times New Roman"/>
          <w:sz w:val="28"/>
          <w:szCs w:val="28"/>
        </w:rPr>
        <w:t>СОУТ определены классы условий труда на всех рабочих местах и определены мероприятия по улучшению условий труда на рабочих местах, где выявлено воздействие на работников вредных производственных факторов.</w:t>
      </w:r>
    </w:p>
    <w:p w14:paraId="60829D24" w14:textId="77777777" w:rsidR="0081236F" w:rsidRDefault="0081236F" w:rsidP="0081236F">
      <w:pPr>
        <w:spacing w:line="240" w:lineRule="auto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Сводные данные о результатах специальной оценки условий труда на рабочих местах ФГБУ «Заповедники Таймыра».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3256"/>
        <w:gridCol w:w="1417"/>
        <w:gridCol w:w="1709"/>
        <w:gridCol w:w="1551"/>
        <w:gridCol w:w="1276"/>
        <w:gridCol w:w="851"/>
        <w:gridCol w:w="850"/>
        <w:gridCol w:w="851"/>
        <w:gridCol w:w="850"/>
        <w:gridCol w:w="2268"/>
      </w:tblGrid>
      <w:tr w:rsidR="0081236F" w14:paraId="2854E2E1" w14:textId="77777777" w:rsidTr="00953A92">
        <w:trPr>
          <w:trHeight w:val="158"/>
        </w:trPr>
        <w:tc>
          <w:tcPr>
            <w:tcW w:w="3256" w:type="dxa"/>
            <w:vMerge w:val="restart"/>
          </w:tcPr>
          <w:p w14:paraId="0DB9E76E" w14:textId="374CCA3B" w:rsidR="0081236F" w:rsidRDefault="0081236F" w:rsidP="00542E2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126" w:type="dxa"/>
            <w:gridSpan w:val="2"/>
          </w:tcPr>
          <w:p w14:paraId="2FF01D23" w14:textId="167D2F4E" w:rsidR="0081236F" w:rsidRDefault="0081236F" w:rsidP="00542E2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рабочих мест и численность работников, занятых на этих рабочих местах</w:t>
            </w:r>
          </w:p>
        </w:tc>
        <w:tc>
          <w:tcPr>
            <w:tcW w:w="8497" w:type="dxa"/>
            <w:gridSpan w:val="7"/>
          </w:tcPr>
          <w:p w14:paraId="299A87B5" w14:textId="7D0E4379" w:rsidR="0081236F" w:rsidRDefault="00953A92" w:rsidP="00542E2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рабочих мест и численность занятых на них работников по классам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подлассам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условий труда из числа рабочих мест, указанных в графе 3 (единиц)</w:t>
            </w:r>
          </w:p>
        </w:tc>
      </w:tr>
      <w:tr w:rsidR="00953A92" w14:paraId="5708D48C" w14:textId="77777777" w:rsidTr="00953A92">
        <w:trPr>
          <w:trHeight w:val="968"/>
        </w:trPr>
        <w:tc>
          <w:tcPr>
            <w:tcW w:w="3256" w:type="dxa"/>
            <w:vMerge/>
          </w:tcPr>
          <w:p w14:paraId="34EEF6FF" w14:textId="77777777" w:rsidR="0081236F" w:rsidRDefault="0081236F" w:rsidP="00542E2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14:paraId="0431EEE8" w14:textId="2A93CAE7" w:rsidR="0081236F" w:rsidRDefault="0081236F" w:rsidP="00953A9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09" w:type="dxa"/>
            <w:vMerge w:val="restart"/>
          </w:tcPr>
          <w:p w14:paraId="4E8664F6" w14:textId="005B75F2" w:rsidR="0081236F" w:rsidRDefault="0081236F" w:rsidP="00953A9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551" w:type="dxa"/>
            <w:vMerge w:val="restart"/>
          </w:tcPr>
          <w:p w14:paraId="78A2CD67" w14:textId="347E3103" w:rsidR="0081236F" w:rsidRDefault="00953A92" w:rsidP="00953A9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 1</w:t>
            </w:r>
          </w:p>
        </w:tc>
        <w:tc>
          <w:tcPr>
            <w:tcW w:w="1276" w:type="dxa"/>
            <w:vMerge w:val="restart"/>
          </w:tcPr>
          <w:p w14:paraId="18AED059" w14:textId="2BAC39F5" w:rsidR="0081236F" w:rsidRDefault="00953A92" w:rsidP="00953A9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 2</w:t>
            </w:r>
          </w:p>
        </w:tc>
        <w:tc>
          <w:tcPr>
            <w:tcW w:w="3402" w:type="dxa"/>
            <w:gridSpan w:val="4"/>
          </w:tcPr>
          <w:p w14:paraId="057B976A" w14:textId="50C18658" w:rsidR="0081236F" w:rsidRDefault="00953A92" w:rsidP="00953A9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 3</w:t>
            </w:r>
          </w:p>
        </w:tc>
        <w:tc>
          <w:tcPr>
            <w:tcW w:w="2268" w:type="dxa"/>
            <w:vMerge w:val="restart"/>
          </w:tcPr>
          <w:p w14:paraId="14DC006B" w14:textId="1001447C" w:rsidR="0081236F" w:rsidRDefault="00953A92" w:rsidP="00953A9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 4</w:t>
            </w:r>
          </w:p>
        </w:tc>
      </w:tr>
      <w:tr w:rsidR="00953A92" w14:paraId="1F007E29" w14:textId="77777777" w:rsidTr="00953A92">
        <w:trPr>
          <w:trHeight w:val="967"/>
        </w:trPr>
        <w:tc>
          <w:tcPr>
            <w:tcW w:w="3256" w:type="dxa"/>
            <w:vMerge/>
          </w:tcPr>
          <w:p w14:paraId="714DB0FB" w14:textId="77777777" w:rsidR="0081236F" w:rsidRDefault="0081236F" w:rsidP="00542E2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4C8B87B1" w14:textId="77777777" w:rsidR="0081236F" w:rsidRDefault="0081236F" w:rsidP="00542E2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vMerge/>
          </w:tcPr>
          <w:p w14:paraId="1FE16A8B" w14:textId="77777777" w:rsidR="0081236F" w:rsidRDefault="0081236F" w:rsidP="00542E2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vMerge/>
          </w:tcPr>
          <w:p w14:paraId="25C116C9" w14:textId="77777777" w:rsidR="0081236F" w:rsidRDefault="0081236F" w:rsidP="00542E2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7B93F103" w14:textId="77777777" w:rsidR="0081236F" w:rsidRDefault="0081236F" w:rsidP="00542E2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75F0735" w14:textId="684BCA83" w:rsidR="0081236F" w:rsidRDefault="00953A92" w:rsidP="00953A9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850" w:type="dxa"/>
          </w:tcPr>
          <w:p w14:paraId="03A4313B" w14:textId="4E88ED50" w:rsidR="0081236F" w:rsidRDefault="00953A92" w:rsidP="00953A9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851" w:type="dxa"/>
          </w:tcPr>
          <w:p w14:paraId="4D016805" w14:textId="58715295" w:rsidR="0081236F" w:rsidRDefault="00953A92" w:rsidP="00953A9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850" w:type="dxa"/>
          </w:tcPr>
          <w:p w14:paraId="7591F1AE" w14:textId="71D5D0B5" w:rsidR="0081236F" w:rsidRDefault="00953A92" w:rsidP="00953A9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2268" w:type="dxa"/>
            <w:vMerge/>
          </w:tcPr>
          <w:p w14:paraId="7AF18822" w14:textId="77777777" w:rsidR="0081236F" w:rsidRDefault="0081236F" w:rsidP="00542E2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3A92" w14:paraId="3ADBA2BF" w14:textId="77777777" w:rsidTr="00953A92">
        <w:tc>
          <w:tcPr>
            <w:tcW w:w="3256" w:type="dxa"/>
          </w:tcPr>
          <w:p w14:paraId="5B908716" w14:textId="26BE42E8" w:rsidR="0081236F" w:rsidRDefault="00953A92" w:rsidP="00953A9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7EDC4F34" w14:textId="6C1987C9" w:rsidR="0081236F" w:rsidRDefault="00953A92" w:rsidP="00953A9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9" w:type="dxa"/>
          </w:tcPr>
          <w:p w14:paraId="529B3D6B" w14:textId="2A7B0B21" w:rsidR="0081236F" w:rsidRDefault="00953A92" w:rsidP="00953A9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1" w:type="dxa"/>
          </w:tcPr>
          <w:p w14:paraId="13DBFC46" w14:textId="5BA368BA" w:rsidR="0081236F" w:rsidRDefault="00DB5527" w:rsidP="00953A9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7969C1B3" w14:textId="78162000" w:rsidR="0081236F" w:rsidRDefault="00953A92" w:rsidP="00953A9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14:paraId="6938D9AD" w14:textId="03D69292" w:rsidR="0081236F" w:rsidRDefault="00953A92" w:rsidP="00953A9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14:paraId="4503A02F" w14:textId="59C1942C" w:rsidR="0081236F" w:rsidRDefault="00953A92" w:rsidP="00953A9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14:paraId="3724F8DA" w14:textId="725E5178" w:rsidR="0081236F" w:rsidRDefault="00953A92" w:rsidP="00953A9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14:paraId="206B8B81" w14:textId="2768619B" w:rsidR="0081236F" w:rsidRDefault="00953A92" w:rsidP="00953A9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14:paraId="28901753" w14:textId="2DFC9B6A" w:rsidR="0081236F" w:rsidRDefault="00953A92" w:rsidP="00953A9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53A92" w14:paraId="6F4D6243" w14:textId="77777777" w:rsidTr="00953A92">
        <w:tc>
          <w:tcPr>
            <w:tcW w:w="3256" w:type="dxa"/>
          </w:tcPr>
          <w:p w14:paraId="52941D29" w14:textId="4136EC9B" w:rsidR="00953A92" w:rsidRDefault="00953A92" w:rsidP="00542E2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Рабочие места (ед.)</w:t>
            </w:r>
          </w:p>
        </w:tc>
        <w:tc>
          <w:tcPr>
            <w:tcW w:w="1417" w:type="dxa"/>
          </w:tcPr>
          <w:p w14:paraId="172F8796" w14:textId="14E99AA6" w:rsidR="00953A92" w:rsidRDefault="00DB5527" w:rsidP="00953A9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09" w:type="dxa"/>
          </w:tcPr>
          <w:p w14:paraId="1571493B" w14:textId="10B9FE8E" w:rsidR="00953A92" w:rsidRDefault="00DB5527" w:rsidP="00953A9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1" w:type="dxa"/>
          </w:tcPr>
          <w:p w14:paraId="361317B4" w14:textId="4F577BB8" w:rsidR="00953A92" w:rsidRDefault="009D3F4E" w:rsidP="009D3F4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158121DF" w14:textId="2144D149" w:rsidR="00953A92" w:rsidRDefault="00DB5527" w:rsidP="009D3F4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14:paraId="15FD1472" w14:textId="55F662C4" w:rsidR="00953A92" w:rsidRDefault="00DB5527" w:rsidP="009D3F4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14:paraId="2906283E" w14:textId="6837E6D2" w:rsidR="00953A92" w:rsidRDefault="009D3F4E" w:rsidP="009D3F4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14:paraId="6C42894B" w14:textId="2065354F" w:rsidR="00953A92" w:rsidRDefault="009D3F4E" w:rsidP="009D3F4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14:paraId="4F99F9FB" w14:textId="352D6101" w:rsidR="00953A92" w:rsidRDefault="009D3F4E" w:rsidP="009D3F4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14:paraId="6117F636" w14:textId="28EF20A8" w:rsidR="00953A92" w:rsidRDefault="009D3F4E" w:rsidP="009D3F4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53A92" w14:paraId="5EC97625" w14:textId="77777777" w:rsidTr="00953A92">
        <w:tc>
          <w:tcPr>
            <w:tcW w:w="3256" w:type="dxa"/>
          </w:tcPr>
          <w:p w14:paraId="0C08F573" w14:textId="0B2AB34D" w:rsidR="00953A92" w:rsidRDefault="00953A92" w:rsidP="00542E2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Работники, занятые на рабочих местах (чел.)</w:t>
            </w:r>
          </w:p>
        </w:tc>
        <w:tc>
          <w:tcPr>
            <w:tcW w:w="1417" w:type="dxa"/>
          </w:tcPr>
          <w:p w14:paraId="4EBCF26D" w14:textId="708F2117" w:rsidR="00953A92" w:rsidRPr="00E45277" w:rsidRDefault="00DB5527" w:rsidP="00953A9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709" w:type="dxa"/>
          </w:tcPr>
          <w:p w14:paraId="41AD1B89" w14:textId="436494C0" w:rsidR="00953A92" w:rsidRPr="00E45277" w:rsidRDefault="00DB5527" w:rsidP="00953A9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51" w:type="dxa"/>
          </w:tcPr>
          <w:p w14:paraId="29062BBD" w14:textId="6A322845" w:rsidR="00953A92" w:rsidRPr="00E45277" w:rsidRDefault="009D3F4E" w:rsidP="009D3F4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2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6CC8CABF" w14:textId="2BF5D684" w:rsidR="00953A92" w:rsidRPr="00E45277" w:rsidRDefault="00DB5527" w:rsidP="009D3F4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14:paraId="6E170076" w14:textId="15933905" w:rsidR="00953A92" w:rsidRPr="00E45277" w:rsidRDefault="00DB5527" w:rsidP="009D3F4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</w:tcPr>
          <w:p w14:paraId="0379B179" w14:textId="73C6F56A" w:rsidR="00953A92" w:rsidRPr="00E45277" w:rsidRDefault="00DB5527" w:rsidP="009D3F4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14:paraId="6E9A1325" w14:textId="65BAD97C" w:rsidR="00953A92" w:rsidRPr="00E45277" w:rsidRDefault="009D3F4E" w:rsidP="009D3F4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2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14:paraId="27DD6861" w14:textId="232A9F48" w:rsidR="00953A92" w:rsidRDefault="009D3F4E" w:rsidP="009D3F4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14:paraId="73FA277A" w14:textId="78C496D5" w:rsidR="00953A92" w:rsidRDefault="009D3F4E" w:rsidP="009D3F4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53A92" w14:paraId="100EDD61" w14:textId="77777777" w:rsidTr="00953A92">
        <w:tc>
          <w:tcPr>
            <w:tcW w:w="3256" w:type="dxa"/>
          </w:tcPr>
          <w:p w14:paraId="778A736D" w14:textId="39332143" w:rsidR="00953A92" w:rsidRDefault="00953A92" w:rsidP="00542E2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женщин</w:t>
            </w:r>
          </w:p>
        </w:tc>
        <w:tc>
          <w:tcPr>
            <w:tcW w:w="1417" w:type="dxa"/>
          </w:tcPr>
          <w:p w14:paraId="157B21D3" w14:textId="4899060C" w:rsidR="00953A92" w:rsidRPr="00E45277" w:rsidRDefault="00DB5527" w:rsidP="00953A9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9" w:type="dxa"/>
          </w:tcPr>
          <w:p w14:paraId="2FCD4DA1" w14:textId="4EC8B8A2" w:rsidR="00953A92" w:rsidRPr="00E45277" w:rsidRDefault="00DB5527" w:rsidP="00953A9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51" w:type="dxa"/>
          </w:tcPr>
          <w:p w14:paraId="7227F93E" w14:textId="213FC486" w:rsidR="00953A92" w:rsidRPr="00E45277" w:rsidRDefault="009D3F4E" w:rsidP="009D3F4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2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0291C4FA" w14:textId="57FFC9A1" w:rsidR="00953A92" w:rsidRPr="00E45277" w:rsidRDefault="00DB5527" w:rsidP="009D3F4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14:paraId="2D3E4B44" w14:textId="5CD5148E" w:rsidR="00953A92" w:rsidRPr="00E45277" w:rsidRDefault="00E45277" w:rsidP="009D3F4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2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B552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14:paraId="49DA3C22" w14:textId="2790ABBA" w:rsidR="00953A92" w:rsidRPr="00E45277" w:rsidRDefault="00DB5527" w:rsidP="009D3F4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14:paraId="5441B952" w14:textId="4C365651" w:rsidR="00953A92" w:rsidRPr="00E45277" w:rsidRDefault="009D3F4E" w:rsidP="009D3F4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2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14:paraId="786F57E0" w14:textId="1F01CD38" w:rsidR="00953A92" w:rsidRDefault="009D3F4E" w:rsidP="009D3F4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14:paraId="628B2B74" w14:textId="28DB665C" w:rsidR="00953A92" w:rsidRDefault="009D3F4E" w:rsidP="009D3F4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53A92" w14:paraId="287D3840" w14:textId="77777777" w:rsidTr="00953A92">
        <w:tc>
          <w:tcPr>
            <w:tcW w:w="3256" w:type="dxa"/>
          </w:tcPr>
          <w:p w14:paraId="254F9CB8" w14:textId="2FAAE2A6" w:rsidR="00953A92" w:rsidRDefault="00953A92" w:rsidP="00542E2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лиц в возрасте до 18 лет</w:t>
            </w:r>
          </w:p>
        </w:tc>
        <w:tc>
          <w:tcPr>
            <w:tcW w:w="1417" w:type="dxa"/>
          </w:tcPr>
          <w:p w14:paraId="7A3C0772" w14:textId="5E265F97" w:rsidR="00953A92" w:rsidRDefault="00953A92" w:rsidP="00953A9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9" w:type="dxa"/>
          </w:tcPr>
          <w:p w14:paraId="6BF6A0FD" w14:textId="78E54AD6" w:rsidR="00953A92" w:rsidRDefault="00953A92" w:rsidP="00953A9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1" w:type="dxa"/>
          </w:tcPr>
          <w:p w14:paraId="6F8AFE6C" w14:textId="2662F9E9" w:rsidR="00953A92" w:rsidRDefault="009D3F4E" w:rsidP="009D3F4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424F6075" w14:textId="3E122BA5" w:rsidR="00953A92" w:rsidRDefault="009D3F4E" w:rsidP="009D3F4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14:paraId="7A343FA4" w14:textId="574F54CA" w:rsidR="00953A92" w:rsidRDefault="009D3F4E" w:rsidP="009D3F4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14:paraId="417A804C" w14:textId="503F7451" w:rsidR="00953A92" w:rsidRDefault="009D3F4E" w:rsidP="009D3F4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14:paraId="1398B80E" w14:textId="5B9A4D52" w:rsidR="00953A92" w:rsidRDefault="009D3F4E" w:rsidP="009D3F4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14:paraId="64D9BFC2" w14:textId="426104CC" w:rsidR="00953A92" w:rsidRDefault="009D3F4E" w:rsidP="009D3F4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14:paraId="109E6B0B" w14:textId="03F2B05E" w:rsidR="00953A92" w:rsidRDefault="009D3F4E" w:rsidP="009D3F4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53A92" w14:paraId="34C6B3E3" w14:textId="77777777" w:rsidTr="00953A92">
        <w:tc>
          <w:tcPr>
            <w:tcW w:w="3256" w:type="dxa"/>
          </w:tcPr>
          <w:p w14:paraId="66E3AC04" w14:textId="2C4D66BF" w:rsidR="00953A92" w:rsidRDefault="00953A92" w:rsidP="00542E2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инвалидов</w:t>
            </w:r>
          </w:p>
        </w:tc>
        <w:tc>
          <w:tcPr>
            <w:tcW w:w="1417" w:type="dxa"/>
          </w:tcPr>
          <w:p w14:paraId="474AFB35" w14:textId="75BAA244" w:rsidR="00953A92" w:rsidRDefault="00DB5527" w:rsidP="00953A9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9" w:type="dxa"/>
          </w:tcPr>
          <w:p w14:paraId="2293ED5B" w14:textId="78B750DB" w:rsidR="00953A92" w:rsidRDefault="00DB5527" w:rsidP="00953A9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1" w:type="dxa"/>
          </w:tcPr>
          <w:p w14:paraId="20059261" w14:textId="3E1A2015" w:rsidR="00953A92" w:rsidRDefault="009D3F4E" w:rsidP="009D3F4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10CD504F" w14:textId="14A4F53E" w:rsidR="00953A92" w:rsidRDefault="00DB5527" w:rsidP="009D3F4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14:paraId="2F8E9B9A" w14:textId="12429BF1" w:rsidR="00953A92" w:rsidRDefault="009D3F4E" w:rsidP="009D3F4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14:paraId="0CF41F91" w14:textId="2D5E35CC" w:rsidR="00953A92" w:rsidRDefault="009D3F4E" w:rsidP="009D3F4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14:paraId="0C6BAF22" w14:textId="49953235" w:rsidR="00953A92" w:rsidRDefault="009D3F4E" w:rsidP="009D3F4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14:paraId="1A2A5A56" w14:textId="7BB3F8E9" w:rsidR="00953A92" w:rsidRDefault="009D3F4E" w:rsidP="009D3F4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14:paraId="65D84472" w14:textId="1064AA91" w:rsidR="00953A92" w:rsidRDefault="009D3F4E" w:rsidP="009D3F4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34D50DEA" w14:textId="3719B8E6" w:rsidR="0081236F" w:rsidRDefault="0081236F" w:rsidP="00542E20">
      <w:pPr>
        <w:spacing w:line="240" w:lineRule="auto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0D719BB" w14:textId="558AF1BC" w:rsidR="00E45277" w:rsidRDefault="00BA6614" w:rsidP="00542E20">
      <w:pPr>
        <w:spacing w:line="240" w:lineRule="auto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Перечень п</w:t>
      </w:r>
      <w:r w:rsidR="00E45277">
        <w:rPr>
          <w:rFonts w:ascii="Times New Roman" w:hAnsi="Times New Roman" w:cs="Times New Roman"/>
          <w:sz w:val="28"/>
          <w:szCs w:val="28"/>
        </w:rPr>
        <w:t>ланируемы</w:t>
      </w:r>
      <w:r>
        <w:rPr>
          <w:rFonts w:ascii="Times New Roman" w:hAnsi="Times New Roman" w:cs="Times New Roman"/>
          <w:sz w:val="28"/>
          <w:szCs w:val="28"/>
        </w:rPr>
        <w:t xml:space="preserve">х работодателем к проведению </w:t>
      </w:r>
      <w:r w:rsidR="00E45277">
        <w:rPr>
          <w:rFonts w:ascii="Times New Roman" w:hAnsi="Times New Roman" w:cs="Times New Roman"/>
          <w:sz w:val="28"/>
          <w:szCs w:val="28"/>
        </w:rPr>
        <w:t>мероприяти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E45277">
        <w:rPr>
          <w:rFonts w:ascii="Times New Roman" w:hAnsi="Times New Roman" w:cs="Times New Roman"/>
          <w:sz w:val="28"/>
          <w:szCs w:val="28"/>
        </w:rPr>
        <w:t xml:space="preserve"> по улучшению условий труда на рабочих местах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D4122BF" w14:textId="7D83A0BC" w:rsidR="00E45277" w:rsidRDefault="00E45277" w:rsidP="00542E20">
      <w:pPr>
        <w:spacing w:line="240" w:lineRule="auto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снижения </w:t>
      </w:r>
      <w:r w:rsidR="00BA6614">
        <w:rPr>
          <w:rFonts w:ascii="Times New Roman" w:hAnsi="Times New Roman" w:cs="Times New Roman"/>
          <w:sz w:val="28"/>
          <w:szCs w:val="28"/>
        </w:rPr>
        <w:t xml:space="preserve">вредного </w:t>
      </w:r>
      <w:r>
        <w:rPr>
          <w:rFonts w:ascii="Times New Roman" w:hAnsi="Times New Roman" w:cs="Times New Roman"/>
          <w:sz w:val="28"/>
          <w:szCs w:val="28"/>
        </w:rPr>
        <w:t xml:space="preserve">воздействия </w:t>
      </w:r>
      <w:r w:rsidR="00BA6614">
        <w:rPr>
          <w:rFonts w:ascii="Times New Roman" w:hAnsi="Times New Roman" w:cs="Times New Roman"/>
          <w:sz w:val="28"/>
          <w:szCs w:val="28"/>
        </w:rPr>
        <w:t>производственного шума предусмотрена организация рационального режима труда и отдыха работника, испытывающего воздействие шума.</w:t>
      </w:r>
    </w:p>
    <w:p w14:paraId="3DBA5005" w14:textId="6F9B49E5" w:rsidR="00BA6614" w:rsidRDefault="00BA6614" w:rsidP="00542E20">
      <w:pPr>
        <w:spacing w:line="240" w:lineRule="auto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снижения уровня общей вибрации на рабочем месте работодателем организуется контроль своевременности устранения неисправностей транспортных средств, технологического транспорта, способствующих увеличению уровня общей вибрации. Организован</w:t>
      </w:r>
      <w:r w:rsidR="00873913">
        <w:rPr>
          <w:rFonts w:ascii="Times New Roman" w:hAnsi="Times New Roman" w:cs="Times New Roman"/>
          <w:sz w:val="28"/>
          <w:szCs w:val="28"/>
        </w:rPr>
        <w:t>о своевременное проведение профилактического технического осмотра транспортных средств и их ремонта.</w:t>
      </w:r>
    </w:p>
    <w:p w14:paraId="336EC157" w14:textId="115D7D3C" w:rsidR="00873913" w:rsidRPr="00542E20" w:rsidRDefault="00873913" w:rsidP="00542E20">
      <w:pPr>
        <w:spacing w:line="240" w:lineRule="auto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снижения тяжести трудового процесса при длительном нахождении в позе стоя, неудобной или фиксированной позе работодателем предусматривается время для отдыха в виде регламентированных перерывов через 1, - 2 часа работы продолжительностью не менее 10 минут каждый.</w:t>
      </w:r>
    </w:p>
    <w:sectPr w:rsidR="00873913" w:rsidRPr="00542E20" w:rsidSect="00542E2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E20"/>
    <w:rsid w:val="00542E20"/>
    <w:rsid w:val="00550156"/>
    <w:rsid w:val="0081236F"/>
    <w:rsid w:val="00873913"/>
    <w:rsid w:val="00953A92"/>
    <w:rsid w:val="009B228E"/>
    <w:rsid w:val="009D3F4E"/>
    <w:rsid w:val="00BA6614"/>
    <w:rsid w:val="00DB5527"/>
    <w:rsid w:val="00E4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75D8A"/>
  <w15:chartTrackingRefBased/>
  <w15:docId w15:val="{64BDB2BC-986D-4E86-9EFF-2DA77B62C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2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FirstName LastName</cp:lastModifiedBy>
  <cp:revision>2</cp:revision>
  <dcterms:created xsi:type="dcterms:W3CDTF">2022-03-09T02:17:00Z</dcterms:created>
  <dcterms:modified xsi:type="dcterms:W3CDTF">2022-03-09T02:17:00Z</dcterms:modified>
</cp:coreProperties>
</file>